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134584" w:rsidP="004A6D2F">
            <w:pPr>
              <w:rPr>
                <w:rStyle w:val="Firstpagetablebold"/>
              </w:rPr>
            </w:pPr>
            <w:r>
              <w:rPr>
                <w:rStyle w:val="Firstpagetablebold"/>
              </w:rPr>
              <w:t>Housing and Homelessness Panel</w:t>
            </w:r>
          </w:p>
        </w:tc>
      </w:tr>
      <w:tr w:rsidR="00CE544A" w:rsidRPr="00975B07" w:rsidTr="005F7F7E">
        <w:tc>
          <w:tcPr>
            <w:tcW w:w="2438" w:type="dxa"/>
            <w:shd w:val="clear" w:color="auto" w:fill="auto"/>
          </w:tcPr>
          <w:p w:rsidR="00F445B1" w:rsidRDefault="00F445B1" w:rsidP="004A6D2F">
            <w:pPr>
              <w:rPr>
                <w:rStyle w:val="Firstpagetablebold"/>
              </w:rPr>
            </w:pPr>
            <w:r w:rsidRPr="00975B07">
              <w:rPr>
                <w:rStyle w:val="Firstpagetablebold"/>
              </w:rPr>
              <w:t>Dat</w:t>
            </w:r>
            <w:r w:rsidR="005C35A5" w:rsidRPr="00975B07">
              <w:rPr>
                <w:rStyle w:val="Firstpagetablebold"/>
              </w:rPr>
              <w:t>e:</w:t>
            </w:r>
          </w:p>
          <w:p w:rsidR="00ED3609" w:rsidRPr="00975B07" w:rsidRDefault="00ED3609" w:rsidP="004A6D2F">
            <w:pPr>
              <w:rPr>
                <w:rStyle w:val="Firstpagetablebold"/>
              </w:rPr>
            </w:pPr>
            <w:r>
              <w:rPr>
                <w:rStyle w:val="Firstpagetablebold"/>
              </w:rPr>
              <w:t>Report of:</w:t>
            </w:r>
          </w:p>
        </w:tc>
        <w:tc>
          <w:tcPr>
            <w:tcW w:w="6406" w:type="dxa"/>
            <w:shd w:val="clear" w:color="auto" w:fill="auto"/>
          </w:tcPr>
          <w:p w:rsidR="00F445B1" w:rsidRDefault="00134584" w:rsidP="005D0621">
            <w:pPr>
              <w:rPr>
                <w:rStyle w:val="Firstpagetablebold"/>
              </w:rPr>
            </w:pPr>
            <w:r>
              <w:rPr>
                <w:rStyle w:val="Firstpagetablebold"/>
              </w:rPr>
              <w:t>06</w:t>
            </w:r>
            <w:r w:rsidR="002A5D34" w:rsidRPr="003E2F9D">
              <w:rPr>
                <w:rStyle w:val="Firstpagetablebold"/>
              </w:rPr>
              <w:t xml:space="preserve"> October 202</w:t>
            </w:r>
            <w:r w:rsidR="008F403B" w:rsidRPr="003E2F9D">
              <w:rPr>
                <w:rStyle w:val="Firstpagetablebold"/>
              </w:rPr>
              <w:t>1</w:t>
            </w:r>
          </w:p>
          <w:p w:rsidR="00ED3609" w:rsidRPr="003E2F9D" w:rsidRDefault="00ED3609" w:rsidP="005D0621">
            <w:pPr>
              <w:rPr>
                <w:b/>
              </w:rPr>
            </w:pPr>
            <w:r>
              <w:rPr>
                <w:b/>
              </w:rPr>
              <w:t>Head of Housing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2A5D34" w:rsidRDefault="00134584" w:rsidP="009E0595">
            <w:pPr>
              <w:rPr>
                <w:rStyle w:val="Firstpagetablebold"/>
                <w:b w:val="0"/>
              </w:rPr>
            </w:pPr>
            <w:r>
              <w:rPr>
                <w:b/>
                <w:szCs w:val="22"/>
              </w:rPr>
              <w:t>Housing and Carbon Reduction</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E0595" w:rsidP="00ED3609">
            <w:r>
              <w:t xml:space="preserve">To update the </w:t>
            </w:r>
            <w:r w:rsidR="00ED3609">
              <w:t>Housing and Homelessness Panel on the activity of the Council relating to carbon reduction in terms of its own housing stock</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D3609" w:rsidP="005F7F7E">
            <w:r>
              <w:t>Pursue a zero carbon Oxford, Deliver more affordable housing</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9E0595" w:rsidP="005F7F7E">
            <w:r>
              <w:t>Corporate Plan</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ED3609">
            <w:r>
              <w:rPr>
                <w:rStyle w:val="Firstpagetablebold"/>
              </w:rPr>
              <w:t xml:space="preserve">Recommendation(s):That the </w:t>
            </w:r>
            <w:r w:rsidR="00ED3609">
              <w:rPr>
                <w:rStyle w:val="Firstpagetablebold"/>
              </w:rPr>
              <w:t>Panel</w:t>
            </w:r>
            <w:r>
              <w:rPr>
                <w:rStyle w:val="Firstpagetablebold"/>
              </w:rPr>
              <w:t xml:space="preserve"> resolves to:</w:t>
            </w:r>
          </w:p>
        </w:tc>
      </w:tr>
      <w:tr w:rsidR="0030208D" w:rsidRPr="00975B07" w:rsidTr="00FA5DF1">
        <w:trPr>
          <w:trHeight w:val="799"/>
        </w:trPr>
        <w:tc>
          <w:tcPr>
            <w:tcW w:w="426" w:type="dxa"/>
            <w:tcBorders>
              <w:top w:val="single" w:sz="8" w:space="0" w:color="000000"/>
              <w:left w:val="single" w:sz="8" w:space="0" w:color="000000"/>
              <w:bottom w:val="single" w:sz="4" w:space="0" w:color="auto"/>
              <w:right w:val="nil"/>
            </w:tcBorders>
          </w:tcPr>
          <w:p w:rsidR="009E0595" w:rsidRPr="003D5E7F" w:rsidRDefault="00046D2B" w:rsidP="004A6D2F">
            <w:r w:rsidRPr="003D5E7F">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9E0595" w:rsidRPr="003D5E7F" w:rsidRDefault="00ED3609" w:rsidP="00ED3609">
            <w:r>
              <w:rPr>
                <w:rStyle w:val="Firstpagetablebold"/>
                <w:b w:val="0"/>
              </w:rPr>
              <w:t>Note the report having agreed any recommendations to Cabinet arising from it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FA5DF1" w:rsidP="004A6D2F">
            <w:r>
              <w:t>Appendix 1</w:t>
            </w:r>
          </w:p>
        </w:tc>
        <w:tc>
          <w:tcPr>
            <w:tcW w:w="6406" w:type="dxa"/>
            <w:tcBorders>
              <w:top w:val="single" w:sz="8" w:space="0" w:color="000000"/>
              <w:left w:val="nil"/>
              <w:bottom w:val="nil"/>
              <w:right w:val="single" w:sz="8" w:space="0" w:color="000000"/>
            </w:tcBorders>
          </w:tcPr>
          <w:p w:rsidR="00ED5860" w:rsidRPr="001356F1" w:rsidRDefault="00FA5DF1" w:rsidP="004F0299">
            <w:r>
              <w:t>Draft Campaign Plan</w:t>
            </w:r>
          </w:p>
        </w:tc>
      </w:tr>
      <w:tr w:rsidR="0030208D" w:rsidRPr="00975B07" w:rsidTr="003D5E7F">
        <w:trPr>
          <w:trHeight w:val="63"/>
        </w:trPr>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40736F" w:rsidRPr="001356F1" w:rsidRDefault="000D568C" w:rsidP="004A6D2F">
      <w:pPr>
        <w:pStyle w:val="Heading1"/>
      </w:pPr>
      <w:r>
        <w:t>Introduction and Background</w:t>
      </w:r>
    </w:p>
    <w:p w:rsidR="00ED3609" w:rsidRPr="00ED3609" w:rsidRDefault="00ED3609" w:rsidP="00ED3609">
      <w:pPr>
        <w:pStyle w:val="ListParagraph"/>
        <w:ind w:left="360" w:hanging="360"/>
        <w:rPr>
          <w:rFonts w:cs="Arial"/>
          <w:color w:val="auto"/>
        </w:rPr>
      </w:pPr>
      <w:r w:rsidRPr="00ED3609">
        <w:rPr>
          <w:rFonts w:cs="Arial"/>
        </w:rPr>
        <w:t xml:space="preserve">Oxford City Council (OCC) have set a target of getting 95% of the housing stock (currently at 7,626) to an EPC C or above by 2030.  </w:t>
      </w:r>
    </w:p>
    <w:p w:rsidR="00ED3609" w:rsidRPr="00ED3609" w:rsidRDefault="00ED3609" w:rsidP="00ED3609">
      <w:pPr>
        <w:pStyle w:val="ListParagraph"/>
        <w:ind w:left="360" w:hanging="360"/>
        <w:rPr>
          <w:rFonts w:cs="Arial"/>
        </w:rPr>
      </w:pPr>
      <w:r w:rsidRPr="00ED3609">
        <w:rPr>
          <w:rFonts w:cs="Arial"/>
        </w:rPr>
        <w:t>The current MTFP (HRA Business Plan) includes circa £7m to fund this ambition. Prior to the rent reduction measures brought in by central government that negatively impacted borrowing OCC had made significant investments in energy efficiency measures not only to reduce carbon but also to help tackle fuel poverty objectives. This year has seen OCC planning how to significantly ‘scale up ‘our programmes.  Some works have already begun using both base budget together with an additional £382k of central Government funding following our successful bid to the Green Homes Grant Local Authority Delivery (LAD) scheme. A further bid to the Governments Social Housing Decarbonisation Fund (SHDF) is currently being worked on. The HRA base budget is currently considered adequate to support the target achievement but this can only be confirmed once firm prices on contract packages are received.</w:t>
      </w:r>
    </w:p>
    <w:p w:rsidR="00ED3609" w:rsidRPr="00ED3609" w:rsidRDefault="00ED3609" w:rsidP="00ED3609">
      <w:pPr>
        <w:pStyle w:val="ListParagraph"/>
        <w:ind w:left="360" w:hanging="360"/>
        <w:rPr>
          <w:rFonts w:cs="Arial"/>
        </w:rPr>
      </w:pPr>
      <w:r w:rsidRPr="00ED3609">
        <w:rPr>
          <w:rFonts w:cs="Arial"/>
        </w:rPr>
        <w:t xml:space="preserve">Although OCC have already completed many improvements to our housing stock, there remains significant works to be completed to achieve the targets. Using data from the Councils Carbon Management database (CROHM), we can target those properties EPC D or below and understand what works are required to achieve the 95% EPC C target. </w:t>
      </w:r>
    </w:p>
    <w:p w:rsidR="00E87F7A" w:rsidRPr="00ED3609" w:rsidRDefault="009E0595" w:rsidP="00BC4FED">
      <w:pPr>
        <w:pStyle w:val="ListParagraph"/>
        <w:jc w:val="both"/>
        <w:rPr>
          <w:rFonts w:cs="Arial"/>
        </w:rPr>
      </w:pPr>
      <w:r w:rsidRPr="00ED3609">
        <w:rPr>
          <w:rFonts w:cs="Arial"/>
        </w:rPr>
        <w:t>Each year the Scrutiny Committee undertakes a ‘deep dive’ into a topic of particular concern to its members</w:t>
      </w:r>
      <w:r w:rsidR="000D568C" w:rsidRPr="00ED3609">
        <w:rPr>
          <w:rFonts w:cs="Arial"/>
        </w:rPr>
        <w:t xml:space="preserve"> over a course of multiple meetings through a Review Group</w:t>
      </w:r>
      <w:r w:rsidRPr="00ED3609">
        <w:rPr>
          <w:rFonts w:cs="Arial"/>
        </w:rPr>
        <w:t xml:space="preserve">. At its August 2021 meeting it was agreed that the topic for Review </w:t>
      </w:r>
      <w:r w:rsidR="000D568C" w:rsidRPr="00ED3609">
        <w:rPr>
          <w:rFonts w:cs="Arial"/>
        </w:rPr>
        <w:t xml:space="preserve">Group for the current civic year would be Child Poverty. </w:t>
      </w:r>
    </w:p>
    <w:p w:rsidR="000D568C" w:rsidRDefault="00ED3609" w:rsidP="00AB7B9F">
      <w:pPr>
        <w:pStyle w:val="Heading1"/>
      </w:pPr>
      <w:r>
        <w:t>Current Situation and CHROHM Data</w:t>
      </w:r>
    </w:p>
    <w:p w:rsidR="00ED3609" w:rsidRPr="00ED3609" w:rsidRDefault="00ED3609" w:rsidP="00ED3609">
      <w:pPr>
        <w:pStyle w:val="ListParagraph"/>
        <w:ind w:left="360" w:hanging="360"/>
        <w:rPr>
          <w:rFonts w:cs="Arial"/>
          <w:color w:val="auto"/>
        </w:rPr>
      </w:pPr>
      <w:r w:rsidRPr="00ED3609">
        <w:rPr>
          <w:rFonts w:cs="Arial"/>
        </w:rPr>
        <w:t>The stock data indicates that the following numbers of properties currently fall within the respective EPC ratings:</w:t>
      </w:r>
    </w:p>
    <w:p w:rsidR="00ED3609" w:rsidRPr="00ED3609" w:rsidRDefault="00ED3609" w:rsidP="00ED3609">
      <w:pPr>
        <w:rPr>
          <w:rFonts w:cs="Arial"/>
        </w:rPr>
      </w:pPr>
    </w:p>
    <w:tbl>
      <w:tblPr>
        <w:tblW w:w="5280" w:type="dxa"/>
        <w:tblCellMar>
          <w:left w:w="0" w:type="dxa"/>
          <w:right w:w="0" w:type="dxa"/>
        </w:tblCellMar>
        <w:tblLook w:val="04A0" w:firstRow="1" w:lastRow="0" w:firstColumn="1" w:lastColumn="0" w:noHBand="0" w:noVBand="1"/>
      </w:tblPr>
      <w:tblGrid>
        <w:gridCol w:w="2030"/>
        <w:gridCol w:w="1760"/>
        <w:gridCol w:w="1760"/>
      </w:tblGrid>
      <w:tr w:rsidR="00ED3609" w:rsidRPr="00ED3609" w:rsidTr="00ED3609">
        <w:trPr>
          <w:trHeight w:val="740"/>
        </w:trPr>
        <w:tc>
          <w:tcPr>
            <w:tcW w:w="17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ED3609" w:rsidRPr="00ED3609" w:rsidRDefault="00ED3609">
            <w:pPr>
              <w:spacing w:line="256" w:lineRule="auto"/>
              <w:rPr>
                <w:rFonts w:cs="Arial"/>
                <w:b/>
                <w:bCs/>
              </w:rPr>
            </w:pPr>
            <w:r w:rsidRPr="00ED3609">
              <w:rPr>
                <w:rFonts w:cs="Arial"/>
                <w:b/>
                <w:bCs/>
              </w:rPr>
              <w:t>Maximum    Sap Score</w:t>
            </w:r>
          </w:p>
        </w:tc>
        <w:tc>
          <w:tcPr>
            <w:tcW w:w="17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ED3609" w:rsidRPr="00ED3609" w:rsidRDefault="00ED3609">
            <w:pPr>
              <w:spacing w:line="256" w:lineRule="auto"/>
              <w:rPr>
                <w:rFonts w:cs="Arial"/>
                <w:b/>
                <w:bCs/>
              </w:rPr>
            </w:pPr>
            <w:r w:rsidRPr="00ED3609">
              <w:rPr>
                <w:rFonts w:cs="Arial"/>
                <w:b/>
                <w:bCs/>
              </w:rPr>
              <w:t>Number of Properties</w:t>
            </w:r>
          </w:p>
        </w:tc>
        <w:tc>
          <w:tcPr>
            <w:tcW w:w="17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ED3609" w:rsidRPr="00ED3609" w:rsidRDefault="00ED3609">
            <w:pPr>
              <w:spacing w:line="256" w:lineRule="auto"/>
              <w:jc w:val="center"/>
              <w:rPr>
                <w:rFonts w:cs="Arial"/>
                <w:b/>
                <w:bCs/>
              </w:rPr>
            </w:pPr>
            <w:r w:rsidRPr="00ED3609">
              <w:rPr>
                <w:rFonts w:cs="Arial"/>
                <w:b/>
                <w:bCs/>
              </w:rPr>
              <w:t>%</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00CC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A (&gt;100)</w:t>
            </w:r>
          </w:p>
        </w:tc>
        <w:tc>
          <w:tcPr>
            <w:tcW w:w="1760" w:type="dxa"/>
            <w:tcBorders>
              <w:top w:val="nil"/>
              <w:left w:val="nil"/>
              <w:bottom w:val="single" w:sz="8" w:space="0" w:color="auto"/>
              <w:right w:val="single" w:sz="8" w:space="0" w:color="auto"/>
            </w:tcBorders>
            <w:shd w:val="clear" w:color="auto" w:fill="00CC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2</w:t>
            </w:r>
          </w:p>
        </w:tc>
        <w:tc>
          <w:tcPr>
            <w:tcW w:w="1760" w:type="dxa"/>
            <w:tcBorders>
              <w:top w:val="nil"/>
              <w:left w:val="nil"/>
              <w:bottom w:val="single" w:sz="8" w:space="0" w:color="auto"/>
              <w:right w:val="single" w:sz="8" w:space="0" w:color="auto"/>
            </w:tcBorders>
            <w:shd w:val="clear" w:color="auto" w:fill="00CC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0.03%</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66FF99"/>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A</w:t>
            </w:r>
          </w:p>
        </w:tc>
        <w:tc>
          <w:tcPr>
            <w:tcW w:w="1760" w:type="dxa"/>
            <w:tcBorders>
              <w:top w:val="nil"/>
              <w:left w:val="nil"/>
              <w:bottom w:val="single" w:sz="8" w:space="0" w:color="auto"/>
              <w:right w:val="single" w:sz="8" w:space="0" w:color="auto"/>
            </w:tcBorders>
            <w:shd w:val="clear" w:color="auto" w:fill="66FF99"/>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21</w:t>
            </w:r>
          </w:p>
        </w:tc>
        <w:tc>
          <w:tcPr>
            <w:tcW w:w="1760" w:type="dxa"/>
            <w:tcBorders>
              <w:top w:val="nil"/>
              <w:left w:val="nil"/>
              <w:bottom w:val="single" w:sz="8" w:space="0" w:color="auto"/>
              <w:right w:val="single" w:sz="8" w:space="0" w:color="auto"/>
            </w:tcBorders>
            <w:shd w:val="clear" w:color="auto" w:fill="66FF99"/>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0.28%</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B</w:t>
            </w:r>
          </w:p>
        </w:tc>
        <w:tc>
          <w:tcPr>
            <w:tcW w:w="17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138</w:t>
            </w:r>
          </w:p>
        </w:tc>
        <w:tc>
          <w:tcPr>
            <w:tcW w:w="17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1.81%</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C</w:t>
            </w:r>
          </w:p>
        </w:tc>
        <w:tc>
          <w:tcPr>
            <w:tcW w:w="176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4950</w:t>
            </w:r>
          </w:p>
        </w:tc>
        <w:tc>
          <w:tcPr>
            <w:tcW w:w="1760" w:type="dxa"/>
            <w:tcBorders>
              <w:top w:val="nil"/>
              <w:left w:val="nil"/>
              <w:bottom w:val="single" w:sz="8" w:space="0" w:color="auto"/>
              <w:right w:val="single" w:sz="8" w:space="0" w:color="auto"/>
            </w:tcBorders>
            <w:shd w:val="clear" w:color="auto" w:fill="FFC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64.91%</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F5862B"/>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D</w:t>
            </w:r>
          </w:p>
        </w:tc>
        <w:tc>
          <w:tcPr>
            <w:tcW w:w="1760" w:type="dxa"/>
            <w:tcBorders>
              <w:top w:val="nil"/>
              <w:left w:val="nil"/>
              <w:bottom w:val="single" w:sz="8" w:space="0" w:color="auto"/>
              <w:right w:val="single" w:sz="8" w:space="0" w:color="auto"/>
            </w:tcBorders>
            <w:shd w:val="clear" w:color="auto" w:fill="F5862B"/>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2357</w:t>
            </w:r>
          </w:p>
        </w:tc>
        <w:tc>
          <w:tcPr>
            <w:tcW w:w="1760" w:type="dxa"/>
            <w:tcBorders>
              <w:top w:val="nil"/>
              <w:left w:val="nil"/>
              <w:bottom w:val="single" w:sz="8" w:space="0" w:color="auto"/>
              <w:right w:val="single" w:sz="8" w:space="0" w:color="auto"/>
            </w:tcBorders>
            <w:shd w:val="clear" w:color="auto" w:fill="F5862B"/>
            <w:noWrap/>
            <w:tcMar>
              <w:top w:w="0" w:type="dxa"/>
              <w:left w:w="108" w:type="dxa"/>
              <w:bottom w:w="0" w:type="dxa"/>
              <w:right w:w="108" w:type="dxa"/>
            </w:tcMar>
            <w:vAlign w:val="bottom"/>
            <w:hideMark/>
          </w:tcPr>
          <w:p w:rsidR="00ED3609" w:rsidRPr="00ED3609" w:rsidRDefault="00ED3609" w:rsidP="00ED3609">
            <w:pPr>
              <w:spacing w:line="256" w:lineRule="auto"/>
              <w:jc w:val="center"/>
              <w:rPr>
                <w:rFonts w:cs="Arial"/>
                <w:b/>
                <w:bCs/>
              </w:rPr>
            </w:pPr>
            <w:r w:rsidRPr="00ED3609">
              <w:rPr>
                <w:rFonts w:cs="Arial"/>
                <w:b/>
                <w:bCs/>
              </w:rPr>
              <w:t>30.91%</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E</w:t>
            </w:r>
          </w:p>
        </w:tc>
        <w:tc>
          <w:tcPr>
            <w:tcW w:w="176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136</w:t>
            </w:r>
          </w:p>
        </w:tc>
        <w:tc>
          <w:tcPr>
            <w:tcW w:w="176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1.78%</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C00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F</w:t>
            </w:r>
          </w:p>
        </w:tc>
        <w:tc>
          <w:tcPr>
            <w:tcW w:w="1760" w:type="dxa"/>
            <w:tcBorders>
              <w:top w:val="nil"/>
              <w:left w:val="nil"/>
              <w:bottom w:val="single" w:sz="8" w:space="0" w:color="auto"/>
              <w:right w:val="single" w:sz="8" w:space="0" w:color="auto"/>
            </w:tcBorders>
            <w:shd w:val="clear" w:color="auto" w:fill="C00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22</w:t>
            </w:r>
          </w:p>
        </w:tc>
        <w:tc>
          <w:tcPr>
            <w:tcW w:w="1760" w:type="dxa"/>
            <w:tcBorders>
              <w:top w:val="nil"/>
              <w:left w:val="nil"/>
              <w:bottom w:val="single" w:sz="8" w:space="0" w:color="auto"/>
              <w:right w:val="single" w:sz="8" w:space="0" w:color="auto"/>
            </w:tcBorders>
            <w:shd w:val="clear" w:color="auto" w:fill="C00000"/>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0.29%</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974706"/>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G</w:t>
            </w:r>
          </w:p>
        </w:tc>
        <w:tc>
          <w:tcPr>
            <w:tcW w:w="1760" w:type="dxa"/>
            <w:tcBorders>
              <w:top w:val="nil"/>
              <w:left w:val="nil"/>
              <w:bottom w:val="single" w:sz="8" w:space="0" w:color="auto"/>
              <w:right w:val="single" w:sz="8" w:space="0" w:color="auto"/>
            </w:tcBorders>
            <w:shd w:val="clear" w:color="auto" w:fill="974706"/>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0</w:t>
            </w:r>
          </w:p>
        </w:tc>
        <w:tc>
          <w:tcPr>
            <w:tcW w:w="1760" w:type="dxa"/>
            <w:tcBorders>
              <w:top w:val="nil"/>
              <w:left w:val="nil"/>
              <w:bottom w:val="single" w:sz="8" w:space="0" w:color="auto"/>
              <w:right w:val="single" w:sz="8" w:space="0" w:color="auto"/>
            </w:tcBorders>
            <w:shd w:val="clear" w:color="auto" w:fill="974706"/>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0.00%</w:t>
            </w:r>
          </w:p>
        </w:tc>
      </w:tr>
      <w:tr w:rsidR="00ED3609" w:rsidRPr="00ED3609" w:rsidTr="00ED3609">
        <w:trPr>
          <w:trHeight w:val="370"/>
        </w:trPr>
        <w:tc>
          <w:tcPr>
            <w:tcW w:w="176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Total</w:t>
            </w:r>
          </w:p>
        </w:tc>
        <w:tc>
          <w:tcPr>
            <w:tcW w:w="17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7626</w:t>
            </w:r>
          </w:p>
        </w:tc>
        <w:tc>
          <w:tcPr>
            <w:tcW w:w="176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ED3609" w:rsidRPr="00ED3609" w:rsidRDefault="00ED3609">
            <w:pPr>
              <w:spacing w:line="256" w:lineRule="auto"/>
              <w:jc w:val="center"/>
              <w:rPr>
                <w:rFonts w:cs="Arial"/>
                <w:b/>
                <w:bCs/>
              </w:rPr>
            </w:pPr>
            <w:r w:rsidRPr="00ED3609">
              <w:rPr>
                <w:rFonts w:cs="Arial"/>
                <w:b/>
                <w:bCs/>
              </w:rPr>
              <w:t>100%</w:t>
            </w:r>
          </w:p>
        </w:tc>
      </w:tr>
    </w:tbl>
    <w:p w:rsidR="00ED3609" w:rsidRPr="00ED3609" w:rsidRDefault="00ED3609" w:rsidP="00ED3609">
      <w:pPr>
        <w:rPr>
          <w:rFonts w:cs="Arial"/>
        </w:rPr>
      </w:pPr>
    </w:p>
    <w:p w:rsidR="00ED3609" w:rsidRPr="00ED3609" w:rsidRDefault="00ED3609" w:rsidP="00ED3609">
      <w:pPr>
        <w:pStyle w:val="ListParagraph"/>
        <w:ind w:left="360" w:hanging="360"/>
        <w:rPr>
          <w:rFonts w:cs="Arial"/>
        </w:rPr>
      </w:pPr>
      <w:r w:rsidRPr="00ED3609">
        <w:rPr>
          <w:rFonts w:cs="Arial"/>
        </w:rPr>
        <w:t xml:space="preserve">A total of at least 2,515 properties require work in order to move them from an EPC rating of below C into C or above. </w:t>
      </w:r>
    </w:p>
    <w:p w:rsidR="00ED3609" w:rsidRPr="00FA5DF1" w:rsidRDefault="00ED3609" w:rsidP="00FA5DF1">
      <w:pPr>
        <w:pStyle w:val="ListParagraph"/>
        <w:ind w:left="360" w:hanging="360"/>
        <w:rPr>
          <w:rFonts w:cs="Arial"/>
        </w:rPr>
      </w:pPr>
      <w:r w:rsidRPr="00ED3609">
        <w:rPr>
          <w:rFonts w:cs="Arial"/>
        </w:rPr>
        <w:t>EPC surveys will continue to be carried out until March 2022 therefore the above numbers will change over time as data is validated and targeted carbon reduction programmes are delivered including main stream planned maintenance programmes which have energy efficiency savings e.g. roof, window and door replacement programmes.</w:t>
      </w:r>
    </w:p>
    <w:p w:rsidR="00ED3609" w:rsidRDefault="00ED3609" w:rsidP="00ED3609">
      <w:pPr>
        <w:jc w:val="both"/>
      </w:pPr>
    </w:p>
    <w:p w:rsidR="00633578" w:rsidRPr="00ED3609" w:rsidRDefault="00ED3609" w:rsidP="00ED3609">
      <w:pPr>
        <w:jc w:val="both"/>
        <w:rPr>
          <w:b/>
        </w:rPr>
      </w:pPr>
      <w:r>
        <w:rPr>
          <w:b/>
        </w:rPr>
        <w:t>Projects and Works to Achieve the Targets</w:t>
      </w:r>
    </w:p>
    <w:p w:rsidR="00ED3609" w:rsidRPr="00D603A3" w:rsidRDefault="00ED3609" w:rsidP="00ED3609">
      <w:pPr>
        <w:pStyle w:val="ListParagraph"/>
        <w:ind w:left="360" w:hanging="360"/>
        <w:rPr>
          <w:rFonts w:cs="Arial"/>
          <w:color w:val="auto"/>
        </w:rPr>
      </w:pPr>
      <w:r w:rsidRPr="00D603A3">
        <w:rPr>
          <w:rFonts w:cs="Arial"/>
        </w:rPr>
        <w:t>An example of some of the possible areas of works required is below, although this is not an exhaustive list.</w:t>
      </w:r>
    </w:p>
    <w:p w:rsidR="00ED3609" w:rsidRPr="00ED3609" w:rsidRDefault="00ED3609" w:rsidP="00ED3609">
      <w:pPr>
        <w:pStyle w:val="ListParagraph"/>
        <w:numPr>
          <w:ilvl w:val="0"/>
          <w:numId w:val="0"/>
        </w:numPr>
        <w:ind w:left="360"/>
        <w:rPr>
          <w:rFonts w:asciiTheme="minorHAnsi" w:hAnsiTheme="minorHAnsi" w:cstheme="minorHAnsi"/>
        </w:rPr>
      </w:pPr>
    </w:p>
    <w:tbl>
      <w:tblPr>
        <w:tblW w:w="5493" w:type="dxa"/>
        <w:tblInd w:w="486" w:type="dxa"/>
        <w:tblLook w:val="04A0" w:firstRow="1" w:lastRow="0" w:firstColumn="1" w:lastColumn="0" w:noHBand="0" w:noVBand="1"/>
      </w:tblPr>
      <w:tblGrid>
        <w:gridCol w:w="4605"/>
        <w:gridCol w:w="222"/>
        <w:gridCol w:w="222"/>
        <w:gridCol w:w="222"/>
        <w:gridCol w:w="222"/>
      </w:tblGrid>
      <w:tr w:rsidR="00ED3609" w:rsidTr="00ED3609">
        <w:trPr>
          <w:trHeight w:val="290"/>
        </w:trPr>
        <w:tc>
          <w:tcPr>
            <w:tcW w:w="5493" w:type="dxa"/>
            <w:gridSpan w:val="5"/>
            <w:noWrap/>
            <w:vAlign w:val="bottom"/>
            <w:hideMark/>
          </w:tcPr>
          <w:p w:rsidR="00ED3609" w:rsidRDefault="00ED3609">
            <w:pPr>
              <w:spacing w:line="256" w:lineRule="auto"/>
              <w:rPr>
                <w:rFonts w:ascii="Calibri" w:hAnsi="Calibri" w:cs="Calibri"/>
              </w:rPr>
            </w:pPr>
            <w:r>
              <w:t xml:space="preserve">Solar options which include duel coil cylinders and  PV panels </w:t>
            </w:r>
          </w:p>
        </w:tc>
      </w:tr>
      <w:tr w:rsidR="00ED3609" w:rsidTr="00ED3609">
        <w:trPr>
          <w:trHeight w:val="290"/>
        </w:trPr>
        <w:tc>
          <w:tcPr>
            <w:tcW w:w="5049" w:type="dxa"/>
            <w:gridSpan w:val="3"/>
            <w:noWrap/>
            <w:vAlign w:val="bottom"/>
            <w:hideMark/>
          </w:tcPr>
          <w:p w:rsidR="00ED3609" w:rsidRDefault="00ED3609">
            <w:pPr>
              <w:spacing w:line="256" w:lineRule="auto"/>
            </w:pPr>
            <w:r>
              <w:t>Remedial works to seal chimneys</w:t>
            </w:r>
          </w:p>
        </w:tc>
        <w:tc>
          <w:tcPr>
            <w:tcW w:w="222" w:type="dxa"/>
            <w:noWrap/>
            <w:vAlign w:val="bottom"/>
            <w:hideMark/>
          </w:tcPr>
          <w:p w:rsidR="00ED3609" w:rsidRDefault="00ED3609"/>
        </w:tc>
        <w:tc>
          <w:tcPr>
            <w:tcW w:w="222" w:type="dxa"/>
            <w:noWrap/>
            <w:vAlign w:val="bottom"/>
            <w:hideMark/>
          </w:tcPr>
          <w:p w:rsidR="00ED3609" w:rsidRDefault="00ED3609">
            <w:pPr>
              <w:spacing w:line="256" w:lineRule="auto"/>
              <w:rPr>
                <w:rFonts w:asciiTheme="minorHAnsi" w:hAnsiTheme="minorHAnsi" w:cstheme="minorBidi"/>
                <w:sz w:val="20"/>
                <w:szCs w:val="20"/>
              </w:rPr>
            </w:pPr>
          </w:p>
        </w:tc>
      </w:tr>
      <w:tr w:rsidR="00ED3609" w:rsidTr="00ED3609">
        <w:trPr>
          <w:trHeight w:val="290"/>
        </w:trPr>
        <w:tc>
          <w:tcPr>
            <w:tcW w:w="5271" w:type="dxa"/>
            <w:gridSpan w:val="4"/>
            <w:noWrap/>
            <w:vAlign w:val="bottom"/>
            <w:hideMark/>
          </w:tcPr>
          <w:p w:rsidR="00ED3609" w:rsidRDefault="00ED3609">
            <w:pPr>
              <w:spacing w:line="256" w:lineRule="auto"/>
              <w:rPr>
                <w:rFonts w:ascii="Calibri" w:hAnsi="Calibri" w:cs="Calibri"/>
              </w:rPr>
            </w:pPr>
            <w:r>
              <w:t>Roofing works to joists, rafters and insulation</w:t>
            </w:r>
          </w:p>
        </w:tc>
        <w:tc>
          <w:tcPr>
            <w:tcW w:w="222" w:type="dxa"/>
            <w:noWrap/>
            <w:vAlign w:val="bottom"/>
            <w:hideMark/>
          </w:tcPr>
          <w:p w:rsidR="00ED3609" w:rsidRDefault="00ED3609"/>
        </w:tc>
      </w:tr>
      <w:tr w:rsidR="00ED3609" w:rsidTr="00ED3609">
        <w:trPr>
          <w:trHeight w:val="290"/>
        </w:trPr>
        <w:tc>
          <w:tcPr>
            <w:tcW w:w="4827" w:type="dxa"/>
            <w:gridSpan w:val="2"/>
            <w:noWrap/>
            <w:vAlign w:val="bottom"/>
            <w:hideMark/>
          </w:tcPr>
          <w:p w:rsidR="00ED3609" w:rsidRDefault="00ED3609">
            <w:pPr>
              <w:spacing w:line="256" w:lineRule="auto"/>
              <w:rPr>
                <w:rFonts w:ascii="Calibri" w:hAnsi="Calibri" w:cs="Calibri"/>
              </w:rPr>
            </w:pPr>
            <w:r>
              <w:t>Solid floor alterations</w:t>
            </w:r>
          </w:p>
        </w:tc>
        <w:tc>
          <w:tcPr>
            <w:tcW w:w="222" w:type="dxa"/>
            <w:noWrap/>
            <w:vAlign w:val="bottom"/>
            <w:hideMark/>
          </w:tcPr>
          <w:p w:rsidR="00ED3609" w:rsidRDefault="00ED3609"/>
        </w:tc>
        <w:tc>
          <w:tcPr>
            <w:tcW w:w="222" w:type="dxa"/>
            <w:noWrap/>
            <w:vAlign w:val="bottom"/>
            <w:hideMark/>
          </w:tcPr>
          <w:p w:rsidR="00ED3609" w:rsidRDefault="00ED3609">
            <w:pPr>
              <w:spacing w:line="256" w:lineRule="auto"/>
              <w:rPr>
                <w:rFonts w:asciiTheme="minorHAnsi" w:hAnsiTheme="minorHAnsi" w:cstheme="minorBidi"/>
                <w:sz w:val="20"/>
                <w:szCs w:val="20"/>
              </w:rPr>
            </w:pPr>
          </w:p>
        </w:tc>
        <w:tc>
          <w:tcPr>
            <w:tcW w:w="222" w:type="dxa"/>
            <w:noWrap/>
            <w:vAlign w:val="bottom"/>
            <w:hideMark/>
          </w:tcPr>
          <w:p w:rsidR="00ED3609" w:rsidRDefault="00ED3609">
            <w:pPr>
              <w:spacing w:line="256" w:lineRule="auto"/>
              <w:rPr>
                <w:rFonts w:asciiTheme="minorHAnsi" w:hAnsiTheme="minorHAnsi" w:cstheme="minorBidi"/>
                <w:sz w:val="20"/>
                <w:szCs w:val="20"/>
              </w:rPr>
            </w:pPr>
          </w:p>
        </w:tc>
      </w:tr>
      <w:tr w:rsidR="00ED3609" w:rsidTr="00ED3609">
        <w:trPr>
          <w:trHeight w:val="290"/>
        </w:trPr>
        <w:tc>
          <w:tcPr>
            <w:tcW w:w="4605" w:type="dxa"/>
            <w:noWrap/>
            <w:vAlign w:val="bottom"/>
            <w:hideMark/>
          </w:tcPr>
          <w:p w:rsidR="00ED3609" w:rsidRDefault="00ED3609">
            <w:pPr>
              <w:spacing w:line="256" w:lineRule="auto"/>
              <w:rPr>
                <w:rFonts w:ascii="Calibri" w:hAnsi="Calibri" w:cs="Calibri"/>
              </w:rPr>
            </w:pPr>
            <w:r>
              <w:t>LED lighting</w:t>
            </w:r>
          </w:p>
        </w:tc>
        <w:tc>
          <w:tcPr>
            <w:tcW w:w="222" w:type="dxa"/>
            <w:noWrap/>
            <w:vAlign w:val="bottom"/>
            <w:hideMark/>
          </w:tcPr>
          <w:p w:rsidR="00ED3609" w:rsidRDefault="00ED3609"/>
        </w:tc>
        <w:tc>
          <w:tcPr>
            <w:tcW w:w="222" w:type="dxa"/>
            <w:noWrap/>
            <w:vAlign w:val="bottom"/>
            <w:hideMark/>
          </w:tcPr>
          <w:p w:rsidR="00ED3609" w:rsidRDefault="00ED3609">
            <w:pPr>
              <w:spacing w:line="256" w:lineRule="auto"/>
              <w:rPr>
                <w:rFonts w:asciiTheme="minorHAnsi" w:hAnsiTheme="minorHAnsi" w:cstheme="minorBidi"/>
                <w:sz w:val="20"/>
                <w:szCs w:val="20"/>
              </w:rPr>
            </w:pPr>
          </w:p>
        </w:tc>
        <w:tc>
          <w:tcPr>
            <w:tcW w:w="222" w:type="dxa"/>
            <w:noWrap/>
            <w:vAlign w:val="bottom"/>
            <w:hideMark/>
          </w:tcPr>
          <w:p w:rsidR="00ED3609" w:rsidRDefault="00ED3609">
            <w:pPr>
              <w:spacing w:line="256" w:lineRule="auto"/>
              <w:rPr>
                <w:rFonts w:asciiTheme="minorHAnsi" w:hAnsiTheme="minorHAnsi" w:cstheme="minorBidi"/>
                <w:sz w:val="20"/>
                <w:szCs w:val="20"/>
              </w:rPr>
            </w:pPr>
          </w:p>
        </w:tc>
        <w:tc>
          <w:tcPr>
            <w:tcW w:w="222" w:type="dxa"/>
            <w:noWrap/>
            <w:vAlign w:val="bottom"/>
            <w:hideMark/>
          </w:tcPr>
          <w:p w:rsidR="00ED3609" w:rsidRDefault="00ED3609">
            <w:pPr>
              <w:spacing w:line="256" w:lineRule="auto"/>
              <w:rPr>
                <w:rFonts w:asciiTheme="minorHAnsi" w:hAnsiTheme="minorHAnsi" w:cstheme="minorBidi"/>
                <w:sz w:val="20"/>
                <w:szCs w:val="20"/>
              </w:rPr>
            </w:pPr>
          </w:p>
        </w:tc>
      </w:tr>
      <w:tr w:rsidR="00ED3609" w:rsidTr="00ED3609">
        <w:trPr>
          <w:trHeight w:val="290"/>
        </w:trPr>
        <w:tc>
          <w:tcPr>
            <w:tcW w:w="5271" w:type="dxa"/>
            <w:gridSpan w:val="4"/>
            <w:noWrap/>
            <w:vAlign w:val="bottom"/>
            <w:hideMark/>
          </w:tcPr>
          <w:p w:rsidR="00ED3609" w:rsidRDefault="00ED3609">
            <w:pPr>
              <w:spacing w:line="256" w:lineRule="auto"/>
              <w:rPr>
                <w:rFonts w:ascii="Calibri" w:hAnsi="Calibri" w:cs="Calibri"/>
              </w:rPr>
            </w:pPr>
            <w:r>
              <w:t>Wall insulations internal and external</w:t>
            </w:r>
          </w:p>
        </w:tc>
        <w:tc>
          <w:tcPr>
            <w:tcW w:w="222" w:type="dxa"/>
            <w:noWrap/>
            <w:vAlign w:val="bottom"/>
            <w:hideMark/>
          </w:tcPr>
          <w:p w:rsidR="00ED3609" w:rsidRDefault="00ED3609"/>
        </w:tc>
      </w:tr>
      <w:tr w:rsidR="00ED3609" w:rsidTr="00ED3609">
        <w:trPr>
          <w:trHeight w:val="290"/>
        </w:trPr>
        <w:tc>
          <w:tcPr>
            <w:tcW w:w="4827" w:type="dxa"/>
            <w:gridSpan w:val="2"/>
            <w:noWrap/>
            <w:vAlign w:val="bottom"/>
            <w:hideMark/>
          </w:tcPr>
          <w:p w:rsidR="00ED3609" w:rsidRDefault="00ED3609">
            <w:pPr>
              <w:spacing w:line="256" w:lineRule="auto"/>
              <w:rPr>
                <w:rFonts w:ascii="Calibri" w:hAnsi="Calibri" w:cs="Calibri"/>
              </w:rPr>
            </w:pPr>
            <w:r>
              <w:t>Draught proofing</w:t>
            </w:r>
          </w:p>
        </w:tc>
        <w:tc>
          <w:tcPr>
            <w:tcW w:w="222" w:type="dxa"/>
            <w:noWrap/>
            <w:vAlign w:val="bottom"/>
            <w:hideMark/>
          </w:tcPr>
          <w:p w:rsidR="00ED3609" w:rsidRDefault="00ED3609"/>
        </w:tc>
        <w:tc>
          <w:tcPr>
            <w:tcW w:w="222" w:type="dxa"/>
            <w:noWrap/>
            <w:vAlign w:val="bottom"/>
            <w:hideMark/>
          </w:tcPr>
          <w:p w:rsidR="00ED3609" w:rsidRDefault="00ED3609">
            <w:pPr>
              <w:spacing w:line="256" w:lineRule="auto"/>
              <w:rPr>
                <w:rFonts w:asciiTheme="minorHAnsi" w:hAnsiTheme="minorHAnsi" w:cstheme="minorBidi"/>
                <w:sz w:val="20"/>
                <w:szCs w:val="20"/>
              </w:rPr>
            </w:pPr>
          </w:p>
        </w:tc>
        <w:tc>
          <w:tcPr>
            <w:tcW w:w="222" w:type="dxa"/>
            <w:noWrap/>
            <w:vAlign w:val="bottom"/>
            <w:hideMark/>
          </w:tcPr>
          <w:p w:rsidR="00ED3609" w:rsidRDefault="00ED3609">
            <w:pPr>
              <w:spacing w:line="256" w:lineRule="auto"/>
              <w:rPr>
                <w:rFonts w:asciiTheme="minorHAnsi" w:hAnsiTheme="minorHAnsi" w:cstheme="minorBidi"/>
                <w:sz w:val="20"/>
                <w:szCs w:val="20"/>
              </w:rPr>
            </w:pPr>
          </w:p>
        </w:tc>
      </w:tr>
      <w:tr w:rsidR="00ED3609" w:rsidTr="00ED3609">
        <w:trPr>
          <w:trHeight w:val="290"/>
        </w:trPr>
        <w:tc>
          <w:tcPr>
            <w:tcW w:w="5049" w:type="dxa"/>
            <w:gridSpan w:val="3"/>
            <w:noWrap/>
            <w:vAlign w:val="bottom"/>
            <w:hideMark/>
          </w:tcPr>
          <w:p w:rsidR="00ED3609" w:rsidRDefault="00ED3609">
            <w:pPr>
              <w:spacing w:line="256" w:lineRule="auto"/>
              <w:rPr>
                <w:rFonts w:ascii="Calibri" w:hAnsi="Calibri" w:cs="Calibri"/>
              </w:rPr>
            </w:pPr>
            <w:r>
              <w:t xml:space="preserve">Hot water system alterations </w:t>
            </w:r>
          </w:p>
        </w:tc>
        <w:tc>
          <w:tcPr>
            <w:tcW w:w="222" w:type="dxa"/>
            <w:noWrap/>
            <w:vAlign w:val="bottom"/>
            <w:hideMark/>
          </w:tcPr>
          <w:p w:rsidR="00ED3609" w:rsidRDefault="00ED3609"/>
        </w:tc>
        <w:tc>
          <w:tcPr>
            <w:tcW w:w="222" w:type="dxa"/>
            <w:noWrap/>
            <w:vAlign w:val="bottom"/>
            <w:hideMark/>
          </w:tcPr>
          <w:p w:rsidR="00ED3609" w:rsidRDefault="00ED3609">
            <w:pPr>
              <w:spacing w:line="256" w:lineRule="auto"/>
              <w:rPr>
                <w:rFonts w:asciiTheme="minorHAnsi" w:hAnsiTheme="minorHAnsi" w:cstheme="minorBidi"/>
                <w:sz w:val="20"/>
                <w:szCs w:val="20"/>
              </w:rPr>
            </w:pPr>
          </w:p>
        </w:tc>
      </w:tr>
      <w:tr w:rsidR="00ED3609" w:rsidTr="00ED3609">
        <w:trPr>
          <w:trHeight w:val="290"/>
        </w:trPr>
        <w:tc>
          <w:tcPr>
            <w:tcW w:w="5271" w:type="dxa"/>
            <w:gridSpan w:val="4"/>
            <w:noWrap/>
            <w:vAlign w:val="bottom"/>
            <w:hideMark/>
          </w:tcPr>
          <w:p w:rsidR="00ED3609" w:rsidRDefault="00ED3609">
            <w:pPr>
              <w:spacing w:line="256" w:lineRule="auto"/>
              <w:rPr>
                <w:rFonts w:ascii="Calibri" w:hAnsi="Calibri" w:cs="Calibri"/>
              </w:rPr>
            </w:pPr>
            <w:r>
              <w:t xml:space="preserve">Controls and automation of systems </w:t>
            </w:r>
          </w:p>
        </w:tc>
        <w:tc>
          <w:tcPr>
            <w:tcW w:w="222" w:type="dxa"/>
            <w:noWrap/>
            <w:vAlign w:val="bottom"/>
            <w:hideMark/>
          </w:tcPr>
          <w:p w:rsidR="00ED3609" w:rsidRDefault="00ED3609"/>
        </w:tc>
      </w:tr>
      <w:tr w:rsidR="00ED3609" w:rsidTr="00ED3609">
        <w:trPr>
          <w:trHeight w:val="290"/>
        </w:trPr>
        <w:tc>
          <w:tcPr>
            <w:tcW w:w="5271" w:type="dxa"/>
            <w:gridSpan w:val="4"/>
            <w:noWrap/>
            <w:vAlign w:val="bottom"/>
            <w:hideMark/>
          </w:tcPr>
          <w:p w:rsidR="00ED3609" w:rsidRDefault="00ED3609">
            <w:pPr>
              <w:spacing w:line="256" w:lineRule="auto"/>
              <w:rPr>
                <w:rFonts w:ascii="Calibri" w:hAnsi="Calibri" w:cs="Calibri"/>
              </w:rPr>
            </w:pPr>
            <w:r>
              <w:t xml:space="preserve">Component elements (windows, doors) </w:t>
            </w:r>
          </w:p>
        </w:tc>
        <w:tc>
          <w:tcPr>
            <w:tcW w:w="222" w:type="dxa"/>
            <w:noWrap/>
            <w:vAlign w:val="bottom"/>
            <w:hideMark/>
          </w:tcPr>
          <w:p w:rsidR="00ED3609" w:rsidRDefault="00ED3609"/>
        </w:tc>
      </w:tr>
    </w:tbl>
    <w:p w:rsidR="004C03EC" w:rsidRPr="00D174FD" w:rsidRDefault="004C03EC" w:rsidP="00D174FD">
      <w:pPr>
        <w:rPr>
          <w:highlight w:val="yellow"/>
        </w:rPr>
      </w:pPr>
    </w:p>
    <w:p w:rsidR="005F2953" w:rsidRPr="00D603A3" w:rsidRDefault="00D603A3" w:rsidP="00D603A3">
      <w:pPr>
        <w:pStyle w:val="bParagraphtext"/>
        <w:numPr>
          <w:ilvl w:val="0"/>
          <w:numId w:val="0"/>
        </w:numPr>
        <w:rPr>
          <w:b/>
        </w:rPr>
      </w:pPr>
      <w:r>
        <w:rPr>
          <w:b/>
        </w:rPr>
        <w:t>LAD and SHDF Projects</w:t>
      </w:r>
    </w:p>
    <w:p w:rsidR="00D603A3" w:rsidRPr="00D603A3" w:rsidRDefault="00D603A3" w:rsidP="00D603A3">
      <w:pPr>
        <w:pStyle w:val="ListParagraph"/>
        <w:ind w:left="360" w:hanging="360"/>
        <w:rPr>
          <w:rFonts w:cs="Arial"/>
          <w:color w:val="auto"/>
        </w:rPr>
      </w:pPr>
      <w:r w:rsidRPr="00D603A3">
        <w:rPr>
          <w:rFonts w:cs="Arial"/>
        </w:rPr>
        <w:t xml:space="preserve">OCC has successfully applied for LAD1b funding and is in the process of improving 240 properties.  As part of this programme 90 of the 240 will have a whole house assessment which is part of the PAS2035 approach dictated by BEIS to receive funding.  The whole house assessment will produce a medium and long term plan for each property and using this information we can get them to an EPC C in the medium term and increase our knowledge of the practical implications of doing further works whilst the property is occupied and indeed what is practical to achieve overall. Improvements will need to be sequenced in the correct order and linked with cyclical maintenance programmes.   Renewable energy and other insulation measures can also be considered as part of a whole house retrofit and planned when a property becomes empty to avoid disruption. </w:t>
      </w:r>
    </w:p>
    <w:p w:rsidR="00D603A3" w:rsidRPr="00D603A3" w:rsidRDefault="00D603A3" w:rsidP="00D603A3">
      <w:pPr>
        <w:pStyle w:val="ListParagraph"/>
        <w:ind w:left="360" w:hanging="360"/>
        <w:rPr>
          <w:rFonts w:cs="Arial"/>
        </w:rPr>
      </w:pPr>
      <w:r w:rsidRPr="00D603A3">
        <w:rPr>
          <w:rFonts w:cs="Arial"/>
        </w:rPr>
        <w:t xml:space="preserve">OCC is currently producing a bid to the SHDF to implement energy efficiency improvements in voids working with Oxford Direct Services.  ODS are in the process of getting their PAS2030 accreditation so they can implement improvements as part of the PAS2035 whole house retrofit.  The target is 125 Void properties currently at EPC D or below to be brought up to at least an EPC C.  This will target fabric first and to get our properties heat pump ready.  It will also need to look at ventilation as part of the works.   </w:t>
      </w:r>
    </w:p>
    <w:p w:rsidR="00D603A3" w:rsidRPr="00D603A3" w:rsidRDefault="00D603A3" w:rsidP="00D603A3">
      <w:pPr>
        <w:pStyle w:val="ListParagraph"/>
        <w:numPr>
          <w:ilvl w:val="0"/>
          <w:numId w:val="0"/>
        </w:numPr>
        <w:ind w:left="360"/>
        <w:rPr>
          <w:rFonts w:asciiTheme="minorHAnsi" w:hAnsiTheme="minorHAnsi" w:cstheme="minorHAnsi"/>
        </w:rPr>
      </w:pPr>
    </w:p>
    <w:p w:rsidR="00D603A3" w:rsidRPr="00E10C81" w:rsidRDefault="00D603A3" w:rsidP="00D603A3">
      <w:pPr>
        <w:pStyle w:val="bParagraphtext"/>
        <w:numPr>
          <w:ilvl w:val="0"/>
          <w:numId w:val="0"/>
        </w:numPr>
        <w:rPr>
          <w:b/>
        </w:rPr>
      </w:pPr>
      <w:r>
        <w:rPr>
          <w:b/>
        </w:rPr>
        <w:t>Resources and Draft Timeline</w:t>
      </w:r>
    </w:p>
    <w:p w:rsidR="00D603A3" w:rsidRPr="00D603A3" w:rsidRDefault="00D603A3" w:rsidP="00D603A3">
      <w:pPr>
        <w:pStyle w:val="bParagraphtext"/>
        <w:numPr>
          <w:ilvl w:val="0"/>
          <w:numId w:val="0"/>
        </w:numPr>
        <w:ind w:left="426" w:hanging="426"/>
        <w:jc w:val="both"/>
        <w:rPr>
          <w:b/>
        </w:rPr>
      </w:pPr>
    </w:p>
    <w:p w:rsidR="00D603A3" w:rsidRPr="00D603A3" w:rsidRDefault="00D603A3" w:rsidP="00D603A3">
      <w:pPr>
        <w:pStyle w:val="ListParagraph"/>
        <w:ind w:left="360" w:hanging="360"/>
        <w:rPr>
          <w:rFonts w:cs="Arial"/>
          <w:color w:val="auto"/>
        </w:rPr>
      </w:pPr>
      <w:r w:rsidRPr="00D603A3">
        <w:rPr>
          <w:rFonts w:cs="Arial"/>
        </w:rPr>
        <w:t>These programmes will need additional staffing resource to deliver namely</w:t>
      </w:r>
      <w:r>
        <w:rPr>
          <w:rFonts w:cs="Arial"/>
        </w:rPr>
        <w:t>:</w:t>
      </w:r>
    </w:p>
    <w:p w:rsidR="00D603A3" w:rsidRPr="00D603A3" w:rsidRDefault="00D603A3" w:rsidP="00D603A3">
      <w:pPr>
        <w:pStyle w:val="ListParagraph"/>
        <w:ind w:left="360" w:hanging="360"/>
        <w:rPr>
          <w:rFonts w:cs="Arial"/>
        </w:rPr>
      </w:pPr>
      <w:r>
        <w:rPr>
          <w:rFonts w:cs="Arial"/>
        </w:rPr>
        <w:t>External expert support:</w:t>
      </w:r>
    </w:p>
    <w:p w:rsidR="00D603A3" w:rsidRPr="0018259F" w:rsidRDefault="00D603A3" w:rsidP="0018259F">
      <w:pPr>
        <w:pStyle w:val="ListParagraph"/>
        <w:numPr>
          <w:ilvl w:val="0"/>
          <w:numId w:val="0"/>
        </w:numPr>
        <w:ind w:left="360"/>
        <w:rPr>
          <w:rFonts w:cs="Arial"/>
        </w:rPr>
      </w:pPr>
      <w:r w:rsidRPr="00D603A3">
        <w:rPr>
          <w:rFonts w:cs="Arial"/>
        </w:rPr>
        <w:t xml:space="preserve">An external carbon and sustainability consultancy will need to be procured and is required to specify, price and validate the works and then prepare both works and tender packages acting as Contract Administrator, Quality auditing, QS and commercial functions to support the packages of works. </w:t>
      </w:r>
    </w:p>
    <w:p w:rsidR="00D603A3" w:rsidRPr="00D603A3" w:rsidRDefault="00D603A3" w:rsidP="00D603A3">
      <w:pPr>
        <w:pStyle w:val="ListParagraph"/>
        <w:ind w:left="360" w:hanging="360"/>
        <w:rPr>
          <w:rFonts w:cs="Arial"/>
        </w:rPr>
      </w:pPr>
      <w:r w:rsidRPr="00D603A3">
        <w:rPr>
          <w:rFonts w:cs="Arial"/>
        </w:rPr>
        <w:t>Internal client team</w:t>
      </w:r>
      <w:r>
        <w:rPr>
          <w:rFonts w:cs="Arial"/>
        </w:rPr>
        <w:t>:</w:t>
      </w:r>
    </w:p>
    <w:p w:rsidR="00D603A3" w:rsidRPr="00D603A3" w:rsidRDefault="00D603A3" w:rsidP="0018259F">
      <w:pPr>
        <w:pStyle w:val="ListParagraph"/>
        <w:numPr>
          <w:ilvl w:val="0"/>
          <w:numId w:val="0"/>
        </w:numPr>
        <w:ind w:left="360"/>
        <w:rPr>
          <w:rFonts w:cs="Arial"/>
        </w:rPr>
      </w:pPr>
      <w:r w:rsidRPr="00D603A3">
        <w:rPr>
          <w:rFonts w:cs="Arial"/>
        </w:rPr>
        <w:t xml:space="preserve">Our own internal property services team will require a suitable team with the relevant skills to advise on technical aspects and client the works to ensure maximum benefits and value can be achieved. This team would oversee the programmes, assist in the development of the packages needed, bring together the Employers requirements on new build and Schedules and product specifications with ODS, seek and secure external funding opportunities and provide the reporting function required to both Council and Central Government on global carbon targets and performance. </w:t>
      </w:r>
    </w:p>
    <w:p w:rsidR="00D603A3" w:rsidRPr="00D603A3" w:rsidRDefault="00D603A3" w:rsidP="00D603A3">
      <w:pPr>
        <w:pStyle w:val="ListParagraph"/>
        <w:ind w:left="360" w:hanging="360"/>
        <w:rPr>
          <w:rFonts w:cs="Arial"/>
        </w:rPr>
      </w:pPr>
      <w:r w:rsidRPr="00D603A3">
        <w:rPr>
          <w:rFonts w:cs="Arial"/>
        </w:rPr>
        <w:t>Resident Engagement and Communication</w:t>
      </w:r>
      <w:r>
        <w:rPr>
          <w:rFonts w:cs="Arial"/>
        </w:rPr>
        <w:t>:</w:t>
      </w:r>
    </w:p>
    <w:p w:rsidR="00D603A3" w:rsidRPr="00D603A3" w:rsidRDefault="00D603A3" w:rsidP="00D603A3">
      <w:pPr>
        <w:pStyle w:val="ListParagraph"/>
        <w:numPr>
          <w:ilvl w:val="0"/>
          <w:numId w:val="0"/>
        </w:numPr>
        <w:ind w:left="360"/>
        <w:rPr>
          <w:rFonts w:cs="Arial"/>
        </w:rPr>
      </w:pPr>
      <w:r w:rsidRPr="00D603A3">
        <w:rPr>
          <w:rFonts w:cs="Arial"/>
        </w:rPr>
        <w:t>In addition we will need to increase our resource with regard to resident engagement and support and we are currently starting to plan a communications campaign to secure maximum buy in and take up. (See Ap</w:t>
      </w:r>
      <w:r w:rsidR="00FA5DF1">
        <w:rPr>
          <w:rFonts w:cs="Arial"/>
        </w:rPr>
        <w:t>pendix 1 for Draft Campaign Plan)</w:t>
      </w:r>
    </w:p>
    <w:p w:rsidR="00D603A3" w:rsidRPr="00D603A3" w:rsidRDefault="00D603A3" w:rsidP="00D603A3">
      <w:pPr>
        <w:pStyle w:val="ListParagraph"/>
        <w:ind w:left="360" w:hanging="360"/>
        <w:rPr>
          <w:rFonts w:cs="Arial"/>
        </w:rPr>
      </w:pPr>
      <w:r w:rsidRPr="00D603A3">
        <w:rPr>
          <w:rFonts w:cs="Arial"/>
        </w:rPr>
        <w:t xml:space="preserve">Additional resources can be contained within the current budget allocation </w:t>
      </w:r>
    </w:p>
    <w:p w:rsidR="00D603A3" w:rsidRPr="00D603A3" w:rsidRDefault="00D603A3" w:rsidP="00D603A3">
      <w:pPr>
        <w:pStyle w:val="ListParagraph"/>
        <w:ind w:left="360" w:hanging="360"/>
        <w:rPr>
          <w:rFonts w:cs="Arial"/>
        </w:rPr>
      </w:pPr>
      <w:r w:rsidRPr="00D603A3">
        <w:rPr>
          <w:rFonts w:cs="Arial"/>
        </w:rPr>
        <w:t xml:space="preserve">Resourcing Energy works is currently very challenging as many of the social housing providers including local authorities are looking to implement carbon projects and the demand and cost for this skill sector is currently very high.  Contractors in the market are in demand and OCC will, like many organisations face challenges in the supply chain. The advantage we hope to achieve with ODS becoming qualified and approved with PAS2030 accreditation to undertake this work will enable a significant amount of the work to be carried out in house or managed via specialist contractors where necessary. </w:t>
      </w:r>
    </w:p>
    <w:p w:rsidR="00D603A3" w:rsidRDefault="00D603A3" w:rsidP="00D603A3">
      <w:pPr>
        <w:pStyle w:val="ListParagraph"/>
        <w:ind w:left="360" w:hanging="360"/>
        <w:rPr>
          <w:rFonts w:cs="Arial"/>
        </w:rPr>
      </w:pPr>
      <w:r w:rsidRPr="00D603A3">
        <w:rPr>
          <w:rFonts w:cs="Arial"/>
        </w:rPr>
        <w:t xml:space="preserve">Below is an initial indicative draft programme over the target period. It is possible that work packages may be achievable earlier and the initial analysis and creation of the packages will determine the overall programme. This will be identifiable in year two onwards and the programme can be fully confirmed. </w:t>
      </w:r>
    </w:p>
    <w:p w:rsidR="00FA5DF1" w:rsidRPr="00D603A3" w:rsidRDefault="00FA5DF1" w:rsidP="00FA5DF1">
      <w:pPr>
        <w:pStyle w:val="ListParagraph"/>
        <w:numPr>
          <w:ilvl w:val="0"/>
          <w:numId w:val="0"/>
        </w:numPr>
        <w:ind w:left="360"/>
        <w:rPr>
          <w:rFonts w:cs="Arial"/>
        </w:rPr>
      </w:pPr>
    </w:p>
    <w:tbl>
      <w:tblPr>
        <w:tblW w:w="0" w:type="auto"/>
        <w:tblCellMar>
          <w:left w:w="0" w:type="dxa"/>
          <w:right w:w="0" w:type="dxa"/>
        </w:tblCellMar>
        <w:tblLook w:val="04A0" w:firstRow="1" w:lastRow="0" w:firstColumn="1" w:lastColumn="0" w:noHBand="0" w:noVBand="1"/>
      </w:tblPr>
      <w:tblGrid>
        <w:gridCol w:w="737"/>
        <w:gridCol w:w="1385"/>
        <w:gridCol w:w="6755"/>
      </w:tblGrid>
      <w:tr w:rsidR="00D603A3" w:rsidRPr="00D603A3" w:rsidTr="00D603A3">
        <w:trPr>
          <w:trHeight w:val="498"/>
        </w:trPr>
        <w:tc>
          <w:tcPr>
            <w:tcW w:w="733"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D603A3" w:rsidRPr="00D603A3" w:rsidRDefault="00D603A3">
            <w:pPr>
              <w:spacing w:line="256" w:lineRule="auto"/>
              <w:rPr>
                <w:rFonts w:cs="Arial"/>
                <w:b/>
              </w:rPr>
            </w:pPr>
            <w:r w:rsidRPr="00D603A3">
              <w:rPr>
                <w:rFonts w:cs="Arial"/>
                <w:b/>
              </w:rPr>
              <w:t>Year No</w:t>
            </w:r>
          </w:p>
        </w:tc>
        <w:tc>
          <w:tcPr>
            <w:tcW w:w="1385"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D603A3" w:rsidRPr="00D603A3" w:rsidRDefault="00D603A3">
            <w:pPr>
              <w:spacing w:line="256" w:lineRule="auto"/>
              <w:rPr>
                <w:rFonts w:cs="Arial"/>
                <w:b/>
              </w:rPr>
            </w:pPr>
            <w:r w:rsidRPr="00D603A3">
              <w:rPr>
                <w:rFonts w:cs="Arial"/>
                <w:b/>
              </w:rPr>
              <w:t>Calendar Year</w:t>
            </w:r>
          </w:p>
        </w:tc>
        <w:tc>
          <w:tcPr>
            <w:tcW w:w="6755" w:type="dxa"/>
            <w:tcBorders>
              <w:top w:val="single" w:sz="8" w:space="0" w:color="auto"/>
              <w:left w:val="nil"/>
              <w:bottom w:val="single" w:sz="8" w:space="0" w:color="auto"/>
              <w:right w:val="single" w:sz="8" w:space="0" w:color="auto"/>
            </w:tcBorders>
            <w:shd w:val="clear" w:color="auto" w:fill="EEECE1" w:themeFill="background2"/>
            <w:tcMar>
              <w:top w:w="0" w:type="dxa"/>
              <w:left w:w="108" w:type="dxa"/>
              <w:bottom w:w="0" w:type="dxa"/>
              <w:right w:w="108" w:type="dxa"/>
            </w:tcMar>
            <w:hideMark/>
          </w:tcPr>
          <w:p w:rsidR="00D603A3" w:rsidRPr="00D603A3" w:rsidRDefault="00D603A3">
            <w:pPr>
              <w:spacing w:line="256" w:lineRule="auto"/>
              <w:rPr>
                <w:rFonts w:cs="Arial"/>
                <w:b/>
              </w:rPr>
            </w:pPr>
            <w:r w:rsidRPr="00D603A3">
              <w:rPr>
                <w:rFonts w:cs="Arial"/>
                <w:b/>
              </w:rPr>
              <w:t xml:space="preserve">Activities </w:t>
            </w:r>
          </w:p>
        </w:tc>
      </w:tr>
      <w:tr w:rsidR="00D603A3" w:rsidRPr="00D603A3" w:rsidTr="00D603A3">
        <w:trPr>
          <w:trHeight w:val="49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1</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2021 - 2022</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Procure Consultant – Prepare specifications and packages for ODS – Tenders</w:t>
            </w:r>
          </w:p>
          <w:p w:rsidR="00D603A3" w:rsidRPr="00D603A3" w:rsidRDefault="00D603A3">
            <w:pPr>
              <w:spacing w:line="256" w:lineRule="auto"/>
              <w:rPr>
                <w:rFonts w:cs="Arial"/>
              </w:rPr>
            </w:pPr>
            <w:r w:rsidRPr="00D603A3">
              <w:rPr>
                <w:rFonts w:cs="Arial"/>
              </w:rPr>
              <w:t xml:space="preserve">Continue to work with ODS on their PAS2030 and MCS accreditation  </w:t>
            </w:r>
          </w:p>
          <w:p w:rsidR="00D603A3" w:rsidRPr="00D603A3" w:rsidRDefault="00D603A3">
            <w:pPr>
              <w:spacing w:line="256" w:lineRule="auto"/>
              <w:rPr>
                <w:rFonts w:cs="Arial"/>
              </w:rPr>
            </w:pPr>
            <w:r w:rsidRPr="00D603A3">
              <w:rPr>
                <w:rFonts w:cs="Arial"/>
              </w:rPr>
              <w:t xml:space="preserve">ODS and OCC to ensure the management and staff are in place to manage the EPC C 2030 works. </w:t>
            </w:r>
          </w:p>
          <w:p w:rsidR="00D603A3" w:rsidRPr="00D603A3" w:rsidRDefault="00D603A3">
            <w:pPr>
              <w:spacing w:line="256" w:lineRule="auto"/>
              <w:rPr>
                <w:rFonts w:cs="Arial"/>
              </w:rPr>
            </w:pPr>
            <w:r w:rsidRPr="00D603A3">
              <w:rPr>
                <w:rFonts w:cs="Arial"/>
              </w:rPr>
              <w:t>Bid for SHDF to partially fund the Voids programme</w:t>
            </w:r>
          </w:p>
          <w:p w:rsidR="00D603A3" w:rsidRPr="00D603A3" w:rsidRDefault="00D603A3">
            <w:pPr>
              <w:spacing w:line="256" w:lineRule="auto"/>
              <w:rPr>
                <w:rFonts w:cs="Arial"/>
              </w:rPr>
            </w:pPr>
            <w:r w:rsidRPr="00D603A3">
              <w:rPr>
                <w:rFonts w:cs="Arial"/>
              </w:rPr>
              <w:t>Implement LAD1b improvements</w:t>
            </w:r>
          </w:p>
          <w:p w:rsidR="00D603A3" w:rsidRPr="00D603A3" w:rsidRDefault="00D603A3">
            <w:pPr>
              <w:spacing w:line="256" w:lineRule="auto"/>
              <w:rPr>
                <w:rFonts w:cs="Arial"/>
              </w:rPr>
            </w:pPr>
            <w:r w:rsidRPr="00D603A3">
              <w:rPr>
                <w:rFonts w:cs="Arial"/>
              </w:rPr>
              <w:t>Communication Campaign begins</w:t>
            </w:r>
          </w:p>
        </w:tc>
      </w:tr>
      <w:tr w:rsidR="00D603A3" w:rsidRPr="00D603A3" w:rsidTr="00D603A3">
        <w:trPr>
          <w:trHeight w:val="221"/>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2022 - 2023</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Resident Engagement and communications campaign continuation</w:t>
            </w:r>
          </w:p>
          <w:p w:rsidR="00D603A3" w:rsidRPr="00D603A3" w:rsidRDefault="00D603A3">
            <w:pPr>
              <w:spacing w:line="256" w:lineRule="auto"/>
              <w:rPr>
                <w:rFonts w:cs="Arial"/>
              </w:rPr>
            </w:pPr>
            <w:r w:rsidRPr="00D603A3">
              <w:rPr>
                <w:rFonts w:cs="Arial"/>
              </w:rPr>
              <w:t>Procurement  of works packages</w:t>
            </w:r>
          </w:p>
          <w:p w:rsidR="00D603A3" w:rsidRPr="00D603A3" w:rsidRDefault="00D603A3">
            <w:pPr>
              <w:spacing w:line="256" w:lineRule="auto"/>
              <w:rPr>
                <w:rFonts w:cs="Arial"/>
              </w:rPr>
            </w:pPr>
            <w:r w:rsidRPr="00D603A3">
              <w:rPr>
                <w:rFonts w:cs="Arial"/>
              </w:rPr>
              <w:t>Plan packages for latter part of 2022/2023, 2023/2024 &amp; 2024/2025 include validation of works, final costing, planning applications, specifications. Begin work onsite packages for 2022/2023</w:t>
            </w:r>
          </w:p>
        </w:tc>
      </w:tr>
      <w:tr w:rsidR="00D603A3" w:rsidRPr="00D603A3" w:rsidTr="00D603A3">
        <w:trPr>
          <w:trHeight w:val="24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3</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2023 – 2024</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 xml:space="preserve">Start on site for 23/24 work packages – Finalise design &amp; package for 2025/26 </w:t>
            </w:r>
            <w:proofErr w:type="spellStart"/>
            <w:r w:rsidRPr="00D603A3">
              <w:rPr>
                <w:rFonts w:cs="Arial"/>
              </w:rPr>
              <w:t>inc</w:t>
            </w:r>
            <w:proofErr w:type="spellEnd"/>
            <w:r w:rsidRPr="00D603A3">
              <w:rPr>
                <w:rFonts w:cs="Arial"/>
              </w:rPr>
              <w:t xml:space="preserve"> validation, specification, planning applications &amp; S20  process</w:t>
            </w:r>
          </w:p>
        </w:tc>
      </w:tr>
      <w:tr w:rsidR="00D603A3" w:rsidRPr="00D603A3" w:rsidTr="00D603A3">
        <w:trPr>
          <w:trHeight w:val="24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4</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2024 – 2025</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 xml:space="preserve">Start on site for 24/25 work packages – Finalise design &amp; package for 2027/28 </w:t>
            </w:r>
            <w:proofErr w:type="spellStart"/>
            <w:r w:rsidRPr="00D603A3">
              <w:rPr>
                <w:rFonts w:cs="Arial"/>
              </w:rPr>
              <w:t>inc</w:t>
            </w:r>
            <w:proofErr w:type="spellEnd"/>
            <w:r w:rsidRPr="00D603A3">
              <w:rPr>
                <w:rFonts w:cs="Arial"/>
              </w:rPr>
              <w:t xml:space="preserve"> validation, specification, planning applications &amp; S20  process</w:t>
            </w:r>
          </w:p>
        </w:tc>
      </w:tr>
      <w:tr w:rsidR="00D603A3" w:rsidRPr="00D603A3" w:rsidTr="00D603A3">
        <w:trPr>
          <w:trHeight w:val="24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5</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2025 - 2026</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 xml:space="preserve">Start on site for 25/26 work packages – Finalise design &amp; package for 2028/29 </w:t>
            </w:r>
            <w:proofErr w:type="spellStart"/>
            <w:r w:rsidRPr="00D603A3">
              <w:rPr>
                <w:rFonts w:cs="Arial"/>
              </w:rPr>
              <w:t>inc</w:t>
            </w:r>
            <w:proofErr w:type="spellEnd"/>
            <w:r w:rsidRPr="00D603A3">
              <w:rPr>
                <w:rFonts w:cs="Arial"/>
              </w:rPr>
              <w:t xml:space="preserve"> validation, specification, planning applications &amp; S20  process</w:t>
            </w:r>
          </w:p>
        </w:tc>
      </w:tr>
      <w:tr w:rsidR="00D603A3" w:rsidRPr="00D603A3" w:rsidTr="00D603A3">
        <w:trPr>
          <w:trHeight w:val="24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6</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2026 - 2027</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 xml:space="preserve">Start on site for 26/27 work packages – Finalise design &amp; package for 2029/30 </w:t>
            </w:r>
            <w:proofErr w:type="spellStart"/>
            <w:r w:rsidRPr="00D603A3">
              <w:rPr>
                <w:rFonts w:cs="Arial"/>
              </w:rPr>
              <w:t>inc</w:t>
            </w:r>
            <w:proofErr w:type="spellEnd"/>
            <w:r w:rsidRPr="00D603A3">
              <w:rPr>
                <w:rFonts w:cs="Arial"/>
              </w:rPr>
              <w:t xml:space="preserve"> validation, specification, planning applications &amp; S20  process</w:t>
            </w:r>
          </w:p>
        </w:tc>
      </w:tr>
      <w:tr w:rsidR="00D603A3" w:rsidRPr="00D603A3" w:rsidTr="00D603A3">
        <w:trPr>
          <w:trHeight w:val="24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7</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2027 – 2028</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 xml:space="preserve">Start on site for 27/28 work packages </w:t>
            </w:r>
          </w:p>
        </w:tc>
      </w:tr>
      <w:tr w:rsidR="00D603A3" w:rsidRPr="00D603A3" w:rsidTr="00D603A3">
        <w:trPr>
          <w:trHeight w:val="24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8</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2028 – 2029</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 xml:space="preserve">Start on site for 28/29 work packages </w:t>
            </w:r>
          </w:p>
        </w:tc>
      </w:tr>
      <w:tr w:rsidR="00D603A3" w:rsidRPr="00D603A3" w:rsidTr="00D603A3">
        <w:trPr>
          <w:trHeight w:val="248"/>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9</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2029 - 2030</w:t>
            </w:r>
          </w:p>
        </w:tc>
        <w:tc>
          <w:tcPr>
            <w:tcW w:w="6755" w:type="dxa"/>
            <w:tcBorders>
              <w:top w:val="nil"/>
              <w:left w:val="nil"/>
              <w:bottom w:val="single" w:sz="8" w:space="0" w:color="auto"/>
              <w:right w:val="single" w:sz="8" w:space="0" w:color="auto"/>
            </w:tcBorders>
            <w:tcMar>
              <w:top w:w="0" w:type="dxa"/>
              <w:left w:w="108" w:type="dxa"/>
              <w:bottom w:w="0" w:type="dxa"/>
              <w:right w:w="108" w:type="dxa"/>
            </w:tcMar>
            <w:hideMark/>
          </w:tcPr>
          <w:p w:rsidR="00D603A3" w:rsidRPr="00D603A3" w:rsidRDefault="00D603A3">
            <w:pPr>
              <w:spacing w:line="256" w:lineRule="auto"/>
              <w:rPr>
                <w:rFonts w:cs="Arial"/>
              </w:rPr>
            </w:pPr>
            <w:r w:rsidRPr="00D603A3">
              <w:rPr>
                <w:rFonts w:cs="Arial"/>
              </w:rPr>
              <w:t xml:space="preserve">Start on site for 29/30 work packages </w:t>
            </w:r>
          </w:p>
        </w:tc>
      </w:tr>
    </w:tbl>
    <w:p w:rsidR="00756E1C" w:rsidRPr="00AC689D" w:rsidRDefault="00756E1C" w:rsidP="00D603A3">
      <w:pPr>
        <w:pStyle w:val="bParagraphtext"/>
        <w:numPr>
          <w:ilvl w:val="0"/>
          <w:numId w:val="0"/>
        </w:numPr>
        <w:jc w:val="both"/>
      </w:pPr>
      <w:r>
        <w:t>.</w:t>
      </w:r>
      <w:r w:rsidR="00D603A3" w:rsidRPr="00D603A3">
        <w:t xml:space="preserve"> </w:t>
      </w:r>
    </w:p>
    <w:p w:rsidR="004A109A" w:rsidRDefault="004A109A" w:rsidP="004A109A">
      <w:pPr>
        <w:pStyle w:val="ListParagraph"/>
        <w:numPr>
          <w:ilvl w:val="0"/>
          <w:numId w:val="0"/>
        </w:numPr>
        <w:ind w:left="502"/>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603A3" w:rsidP="00A46E98">
            <w:r>
              <w:t>Malcolm Peek</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603A3" w:rsidP="00A46E98">
            <w:r>
              <w:t>Property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03A3" w:rsidP="00A46E98">
            <w:r>
              <w:t>Housing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53EEA"/>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603A3" w:rsidP="00A46E98">
            <w:pPr>
              <w:rPr>
                <w:rStyle w:val="Hyperlink"/>
                <w:color w:val="000000"/>
              </w:rPr>
            </w:pPr>
            <w:r>
              <w:rPr>
                <w:rStyle w:val="Hyperlink"/>
                <w:color w:val="000000"/>
              </w:rPr>
              <w:t>mpeek</w:t>
            </w:r>
            <w:r w:rsidR="007D7360">
              <w:rPr>
                <w:rStyle w:val="Hyperlink"/>
                <w:color w:val="000000"/>
              </w:rPr>
              <w:t>@oxford.gov.uk</w:t>
            </w:r>
          </w:p>
        </w:tc>
      </w:tr>
    </w:tbl>
    <w:p w:rsidR="00433B96" w:rsidRPr="001356F1" w:rsidRDefault="00433B96" w:rsidP="004A6D2F"/>
    <w:p w:rsidR="00CE4C87" w:rsidRDefault="00CE4C87" w:rsidP="0093067A"/>
    <w:sectPr w:rsidR="00CE4C87"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EB" w:rsidRDefault="000C0DEB" w:rsidP="004A6D2F">
      <w:r>
        <w:separator/>
      </w:r>
    </w:p>
  </w:endnote>
  <w:endnote w:type="continuationSeparator" w:id="0">
    <w:p w:rsidR="000C0DEB" w:rsidRDefault="000C0DE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EB" w:rsidRDefault="000C0DEB" w:rsidP="004A6D2F">
      <w:r>
        <w:separator/>
      </w:r>
    </w:p>
  </w:footnote>
  <w:footnote w:type="continuationSeparator" w:id="0">
    <w:p w:rsidR="000C0DEB" w:rsidRDefault="000C0DE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DD2FED" w:rsidP="00D5547E">
    <w:pPr>
      <w:pStyle w:val="Header"/>
      <w:jc w:val="right"/>
    </w:pPr>
    <w:r>
      <w:rPr>
        <w:noProof/>
      </w:rPr>
      <w:drawing>
        <wp:inline distT="0" distB="0" distL="0" distR="0" wp14:anchorId="73383CE2" wp14:editId="73383CE3">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95C36"/>
    <w:multiLevelType w:val="hybridMultilevel"/>
    <w:tmpl w:val="7FC66446"/>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8A3FEE"/>
    <w:multiLevelType w:val="hybridMultilevel"/>
    <w:tmpl w:val="ACA83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8"/>
  </w:num>
  <w:num w:numId="5">
    <w:abstractNumId w:val="28"/>
  </w:num>
  <w:num w:numId="6">
    <w:abstractNumId w:val="32"/>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4"/>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1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86491"/>
    <w:rsid w:val="00096628"/>
    <w:rsid w:val="000A0A8D"/>
    <w:rsid w:val="000C089F"/>
    <w:rsid w:val="000C0DEB"/>
    <w:rsid w:val="000C3928"/>
    <w:rsid w:val="000C48FC"/>
    <w:rsid w:val="000C5E8E"/>
    <w:rsid w:val="000D568C"/>
    <w:rsid w:val="000F4751"/>
    <w:rsid w:val="000F77FE"/>
    <w:rsid w:val="0010524C"/>
    <w:rsid w:val="00111FB1"/>
    <w:rsid w:val="00113418"/>
    <w:rsid w:val="00134584"/>
    <w:rsid w:val="001356F1"/>
    <w:rsid w:val="00136994"/>
    <w:rsid w:val="0014128E"/>
    <w:rsid w:val="00151888"/>
    <w:rsid w:val="00170A2D"/>
    <w:rsid w:val="001750A4"/>
    <w:rsid w:val="001808BC"/>
    <w:rsid w:val="0018259F"/>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50527"/>
    <w:rsid w:val="00260467"/>
    <w:rsid w:val="00263EA3"/>
    <w:rsid w:val="00284F85"/>
    <w:rsid w:val="00290915"/>
    <w:rsid w:val="002A22E2"/>
    <w:rsid w:val="002A5D34"/>
    <w:rsid w:val="002C64F7"/>
    <w:rsid w:val="002F34AE"/>
    <w:rsid w:val="002F41F2"/>
    <w:rsid w:val="00301BF3"/>
    <w:rsid w:val="0030208D"/>
    <w:rsid w:val="00323418"/>
    <w:rsid w:val="003357BF"/>
    <w:rsid w:val="00364FAD"/>
    <w:rsid w:val="0036738F"/>
    <w:rsid w:val="0036759C"/>
    <w:rsid w:val="00367AE5"/>
    <w:rsid w:val="00367D71"/>
    <w:rsid w:val="0038150A"/>
    <w:rsid w:val="00384CF9"/>
    <w:rsid w:val="003B6E75"/>
    <w:rsid w:val="003D0379"/>
    <w:rsid w:val="003D2574"/>
    <w:rsid w:val="003D4C59"/>
    <w:rsid w:val="003D5E7F"/>
    <w:rsid w:val="003D6E37"/>
    <w:rsid w:val="003E2F9D"/>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109A"/>
    <w:rsid w:val="004A2AC7"/>
    <w:rsid w:val="004A5337"/>
    <w:rsid w:val="004A6D2F"/>
    <w:rsid w:val="004B348B"/>
    <w:rsid w:val="004C03EC"/>
    <w:rsid w:val="004C2887"/>
    <w:rsid w:val="004D2626"/>
    <w:rsid w:val="004D6E26"/>
    <w:rsid w:val="004D77D3"/>
    <w:rsid w:val="004E2959"/>
    <w:rsid w:val="004F0299"/>
    <w:rsid w:val="004F20EF"/>
    <w:rsid w:val="004F49C8"/>
    <w:rsid w:val="004F6F6E"/>
    <w:rsid w:val="0050321C"/>
    <w:rsid w:val="005205E8"/>
    <w:rsid w:val="00543289"/>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2953"/>
    <w:rsid w:val="005F7F7E"/>
    <w:rsid w:val="00605562"/>
    <w:rsid w:val="00614693"/>
    <w:rsid w:val="00623C2F"/>
    <w:rsid w:val="00632A88"/>
    <w:rsid w:val="00633578"/>
    <w:rsid w:val="00637068"/>
    <w:rsid w:val="00650811"/>
    <w:rsid w:val="00661D3E"/>
    <w:rsid w:val="00692627"/>
    <w:rsid w:val="006969E7"/>
    <w:rsid w:val="006A3643"/>
    <w:rsid w:val="006A407D"/>
    <w:rsid w:val="006C2A29"/>
    <w:rsid w:val="006C64CF"/>
    <w:rsid w:val="006D17B1"/>
    <w:rsid w:val="006D708A"/>
    <w:rsid w:val="006E00EA"/>
    <w:rsid w:val="006E0F08"/>
    <w:rsid w:val="006E14C1"/>
    <w:rsid w:val="006E260E"/>
    <w:rsid w:val="006F0292"/>
    <w:rsid w:val="006F416B"/>
    <w:rsid w:val="006F519B"/>
    <w:rsid w:val="00713675"/>
    <w:rsid w:val="00715823"/>
    <w:rsid w:val="00737B93"/>
    <w:rsid w:val="00745BF0"/>
    <w:rsid w:val="00756E1C"/>
    <w:rsid w:val="007615FE"/>
    <w:rsid w:val="0076655C"/>
    <w:rsid w:val="007742DC"/>
    <w:rsid w:val="00791437"/>
    <w:rsid w:val="007B0C2C"/>
    <w:rsid w:val="007B278E"/>
    <w:rsid w:val="007C1201"/>
    <w:rsid w:val="007C5C23"/>
    <w:rsid w:val="007D7360"/>
    <w:rsid w:val="007E2A26"/>
    <w:rsid w:val="007F2348"/>
    <w:rsid w:val="00803F07"/>
    <w:rsid w:val="0080749A"/>
    <w:rsid w:val="00821AAF"/>
    <w:rsid w:val="00821FB8"/>
    <w:rsid w:val="00822ACD"/>
    <w:rsid w:val="008271BD"/>
    <w:rsid w:val="00855C66"/>
    <w:rsid w:val="00871EE4"/>
    <w:rsid w:val="008B293F"/>
    <w:rsid w:val="008B7371"/>
    <w:rsid w:val="008D3DDB"/>
    <w:rsid w:val="008F403B"/>
    <w:rsid w:val="008F573F"/>
    <w:rsid w:val="009034EC"/>
    <w:rsid w:val="0093067A"/>
    <w:rsid w:val="00941C60"/>
    <w:rsid w:val="00966D42"/>
    <w:rsid w:val="009713E8"/>
    <w:rsid w:val="00971689"/>
    <w:rsid w:val="00973E90"/>
    <w:rsid w:val="00975B07"/>
    <w:rsid w:val="00980B4A"/>
    <w:rsid w:val="009844F2"/>
    <w:rsid w:val="009C203B"/>
    <w:rsid w:val="009E0595"/>
    <w:rsid w:val="009E3D0A"/>
    <w:rsid w:val="009E51FC"/>
    <w:rsid w:val="009F1D28"/>
    <w:rsid w:val="009F7618"/>
    <w:rsid w:val="00A04D23"/>
    <w:rsid w:val="00A06766"/>
    <w:rsid w:val="00A13765"/>
    <w:rsid w:val="00A21B12"/>
    <w:rsid w:val="00A23F80"/>
    <w:rsid w:val="00A37CCE"/>
    <w:rsid w:val="00A44635"/>
    <w:rsid w:val="00A46E98"/>
    <w:rsid w:val="00A6352B"/>
    <w:rsid w:val="00A701B5"/>
    <w:rsid w:val="00A714BB"/>
    <w:rsid w:val="00A92D8F"/>
    <w:rsid w:val="00AB2988"/>
    <w:rsid w:val="00AB7999"/>
    <w:rsid w:val="00AB7B9F"/>
    <w:rsid w:val="00AD3292"/>
    <w:rsid w:val="00AE7AF0"/>
    <w:rsid w:val="00B500CA"/>
    <w:rsid w:val="00B558E1"/>
    <w:rsid w:val="00B7799F"/>
    <w:rsid w:val="00B81175"/>
    <w:rsid w:val="00B86314"/>
    <w:rsid w:val="00BA1C2E"/>
    <w:rsid w:val="00BC200B"/>
    <w:rsid w:val="00BC4756"/>
    <w:rsid w:val="00BC4FED"/>
    <w:rsid w:val="00BC69A4"/>
    <w:rsid w:val="00BD7C36"/>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11E1C"/>
    <w:rsid w:val="00D160B0"/>
    <w:rsid w:val="00D1612F"/>
    <w:rsid w:val="00D174FD"/>
    <w:rsid w:val="00D17F94"/>
    <w:rsid w:val="00D223FC"/>
    <w:rsid w:val="00D26D1E"/>
    <w:rsid w:val="00D474CF"/>
    <w:rsid w:val="00D53EEA"/>
    <w:rsid w:val="00D5547E"/>
    <w:rsid w:val="00D603A3"/>
    <w:rsid w:val="00D6683E"/>
    <w:rsid w:val="00D90A28"/>
    <w:rsid w:val="00DA413F"/>
    <w:rsid w:val="00DA4584"/>
    <w:rsid w:val="00DA614B"/>
    <w:rsid w:val="00DC3060"/>
    <w:rsid w:val="00DD2FED"/>
    <w:rsid w:val="00DE0FB2"/>
    <w:rsid w:val="00DF093E"/>
    <w:rsid w:val="00E01F42"/>
    <w:rsid w:val="00E076F4"/>
    <w:rsid w:val="00E10C81"/>
    <w:rsid w:val="00E206D6"/>
    <w:rsid w:val="00E3366E"/>
    <w:rsid w:val="00E52086"/>
    <w:rsid w:val="00E543A6"/>
    <w:rsid w:val="00E60479"/>
    <w:rsid w:val="00E61D73"/>
    <w:rsid w:val="00E73684"/>
    <w:rsid w:val="00E818D6"/>
    <w:rsid w:val="00E87F7A"/>
    <w:rsid w:val="00E96BD7"/>
    <w:rsid w:val="00EA0DB1"/>
    <w:rsid w:val="00EA0EE9"/>
    <w:rsid w:val="00EB394F"/>
    <w:rsid w:val="00ED3609"/>
    <w:rsid w:val="00ED52CA"/>
    <w:rsid w:val="00ED5860"/>
    <w:rsid w:val="00EE35C9"/>
    <w:rsid w:val="00EF1D9F"/>
    <w:rsid w:val="00F05ECA"/>
    <w:rsid w:val="00F3566E"/>
    <w:rsid w:val="00F375FB"/>
    <w:rsid w:val="00F41AC1"/>
    <w:rsid w:val="00F4367A"/>
    <w:rsid w:val="00F445B1"/>
    <w:rsid w:val="00F45CD4"/>
    <w:rsid w:val="00F66DCA"/>
    <w:rsid w:val="00F74F53"/>
    <w:rsid w:val="00F7606D"/>
    <w:rsid w:val="00F81670"/>
    <w:rsid w:val="00F82024"/>
    <w:rsid w:val="00F913EC"/>
    <w:rsid w:val="00F92ABF"/>
    <w:rsid w:val="00F95BC9"/>
    <w:rsid w:val="00FA026E"/>
    <w:rsid w:val="00FA5DF1"/>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83C40"/>
  <w15:docId w15:val="{ED054E68-15BA-43A7-ADCB-4B0C4E0D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1">
    <w:name w:val="Style1"/>
    <w:basedOn w:val="Normal"/>
    <w:link w:val="Style1Char"/>
    <w:qFormat/>
    <w:rsid w:val="00E10C81"/>
    <w:pPr>
      <w:spacing w:before="120" w:line="360" w:lineRule="auto"/>
    </w:pPr>
    <w:rPr>
      <w:color w:val="auto"/>
      <w:lang w:eastAsia="en-US"/>
    </w:rPr>
  </w:style>
  <w:style w:type="character" w:customStyle="1" w:styleId="Style1Char">
    <w:name w:val="Style1 Char"/>
    <w:link w:val="Style1"/>
    <w:rsid w:val="00E10C81"/>
    <w:rPr>
      <w:sz w:val="24"/>
      <w:szCs w:val="24"/>
      <w:lang w:eastAsia="en-US"/>
    </w:rPr>
  </w:style>
  <w:style w:type="paragraph" w:customStyle="1" w:styleId="Default">
    <w:name w:val="Default"/>
    <w:rsid w:val="004F0299"/>
    <w:pPr>
      <w:autoSpaceDE w:val="0"/>
      <w:autoSpaceDN w:val="0"/>
      <w:adjustRightInd w:val="0"/>
    </w:pPr>
    <w:rPr>
      <w:rFonts w:cs="Arial"/>
      <w:color w:val="000000"/>
      <w:sz w:val="24"/>
      <w:szCs w:val="24"/>
    </w:rPr>
  </w:style>
  <w:style w:type="character" w:styleId="FollowedHyperlink">
    <w:name w:val="FollowedHyperlink"/>
    <w:basedOn w:val="DefaultParagraphFont"/>
    <w:semiHidden/>
    <w:unhideWhenUsed/>
    <w:rsid w:val="00BC4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14878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9043853">
      <w:bodyDiv w:val="1"/>
      <w:marLeft w:val="0"/>
      <w:marRight w:val="0"/>
      <w:marTop w:val="0"/>
      <w:marBottom w:val="0"/>
      <w:divBdr>
        <w:top w:val="none" w:sz="0" w:space="0" w:color="auto"/>
        <w:left w:val="none" w:sz="0" w:space="0" w:color="auto"/>
        <w:bottom w:val="none" w:sz="0" w:space="0" w:color="auto"/>
        <w:right w:val="none" w:sz="0" w:space="0" w:color="auto"/>
      </w:divBdr>
    </w:div>
    <w:div w:id="104328789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34924024">
      <w:bodyDiv w:val="1"/>
      <w:marLeft w:val="0"/>
      <w:marRight w:val="0"/>
      <w:marTop w:val="0"/>
      <w:marBottom w:val="0"/>
      <w:divBdr>
        <w:top w:val="none" w:sz="0" w:space="0" w:color="auto"/>
        <w:left w:val="none" w:sz="0" w:space="0" w:color="auto"/>
        <w:bottom w:val="none" w:sz="0" w:space="0" w:color="auto"/>
        <w:right w:val="none" w:sz="0" w:space="0" w:color="auto"/>
      </w:divBdr>
    </w:div>
    <w:div w:id="128588863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291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55B-781C-49F0-925A-074BA5E55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4.xml><?xml version="1.0" encoding="utf-8"?>
<ds:datastoreItem xmlns:ds="http://schemas.openxmlformats.org/officeDocument/2006/customXml" ds:itemID="{14A2647A-5F21-4657-B7AB-8C572360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4DD58109</Template>
  <TotalTime>0</TotalTime>
  <Pages>1</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HUDSON Tom</cp:lastModifiedBy>
  <cp:revision>2</cp:revision>
  <cp:lastPrinted>2015-07-03T12:50:00Z</cp:lastPrinted>
  <dcterms:created xsi:type="dcterms:W3CDTF">2021-10-01T13:58:00Z</dcterms:created>
  <dcterms:modified xsi:type="dcterms:W3CDTF">2021-10-01T13:58:00Z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